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C4B4" w14:textId="77777777" w:rsidR="00702AB4" w:rsidRPr="00702AB4" w:rsidRDefault="00702AB4" w:rsidP="00702AB4">
      <w:pPr>
        <w:rPr>
          <w:rFonts w:ascii="Arial" w:hAnsi="Arial" w:cs="Arial"/>
          <w:sz w:val="20"/>
        </w:rPr>
      </w:pPr>
    </w:p>
    <w:p w14:paraId="5F4A27E6" w14:textId="1BB4BE81" w:rsidR="00702AB4" w:rsidRPr="00EC427D" w:rsidRDefault="00702AB4" w:rsidP="00746AF5">
      <w:pPr>
        <w:jc w:val="center"/>
        <w:rPr>
          <w:rFonts w:ascii="Bryant Pro Medium Alternate" w:eastAsia="DengXian" w:hAnsi="Bryant Pro Medium Alternate" w:cstheme="minorHAnsi"/>
          <w:color w:val="009EDB" w:themeColor="text1"/>
          <w:sz w:val="32"/>
          <w:szCs w:val="32"/>
        </w:rPr>
      </w:pPr>
      <w:r w:rsidRPr="00EC427D">
        <w:rPr>
          <w:rFonts w:ascii="Bryant Pro Medium Alternate" w:eastAsia="DengXian" w:hAnsi="Bryant Pro Medium Alternate" w:cstheme="minorHAnsi"/>
          <w:color w:val="009EDB" w:themeColor="text1"/>
          <w:sz w:val="32"/>
          <w:szCs w:val="32"/>
        </w:rPr>
        <w:t>Terms and Conditions for the Installation and Maintenance of</w:t>
      </w:r>
    </w:p>
    <w:p w14:paraId="3AE97BCB" w14:textId="7FFD2BA2" w:rsidR="00702AB4" w:rsidRPr="00EC427D" w:rsidRDefault="00702AB4" w:rsidP="00746AF5">
      <w:pPr>
        <w:jc w:val="center"/>
        <w:rPr>
          <w:rFonts w:ascii="Bryant Pro Medium Alternate" w:eastAsia="DengXian" w:hAnsi="Bryant Pro Medium Alternate" w:cstheme="minorHAnsi"/>
          <w:color w:val="009EDB" w:themeColor="text1"/>
          <w:sz w:val="32"/>
          <w:szCs w:val="32"/>
        </w:rPr>
      </w:pPr>
      <w:r w:rsidRPr="00EC427D">
        <w:rPr>
          <w:rFonts w:ascii="Bryant Pro Medium Alternate" w:eastAsia="DengXian" w:hAnsi="Bryant Pro Medium Alternate" w:cstheme="minorHAnsi"/>
          <w:color w:val="009EDB" w:themeColor="text1"/>
          <w:sz w:val="32"/>
          <w:szCs w:val="32"/>
        </w:rPr>
        <w:t>Reduced Pressure Zone (RPZ) Valve Assemblies</w:t>
      </w:r>
    </w:p>
    <w:p w14:paraId="2A3F0166" w14:textId="60B46628" w:rsidR="00702AB4" w:rsidRPr="00EC427D" w:rsidRDefault="00702AB4" w:rsidP="00746AF5">
      <w:pPr>
        <w:rPr>
          <w:rFonts w:ascii="Bryant Pro Medium Alternate" w:hAnsi="Bryant Pro Medium Alternate" w:cstheme="minorHAnsi"/>
          <w:color w:val="009EDB" w:themeColor="text1"/>
        </w:rPr>
      </w:pPr>
      <w:r w:rsidRPr="00EC427D">
        <w:rPr>
          <w:rFonts w:ascii="Bryant Pro Medium Alternate" w:hAnsi="Bryant Pro Medium Alternate" w:cstheme="minorHAnsi"/>
          <w:color w:val="009EDB" w:themeColor="text1"/>
        </w:rPr>
        <w:t>The following terms and conditions apply to all installations of Type BA backflow prevention devices</w:t>
      </w:r>
      <w:r w:rsidR="005531B3" w:rsidRPr="00EC427D">
        <w:rPr>
          <w:rFonts w:ascii="Bryant Pro Medium Alternate" w:hAnsi="Bryant Pro Medium Alternate" w:cstheme="minorHAnsi"/>
          <w:color w:val="009EDB" w:themeColor="text1"/>
        </w:rPr>
        <w:t>, Fluid</w:t>
      </w:r>
      <w:r w:rsidR="007E2912" w:rsidRPr="00EC427D">
        <w:rPr>
          <w:rFonts w:ascii="Bryant Pro Medium Alternate" w:hAnsi="Bryant Pro Medium Alternate" w:cstheme="minorHAnsi"/>
          <w:color w:val="009EDB" w:themeColor="text1"/>
        </w:rPr>
        <w:t xml:space="preserve"> Category 4</w:t>
      </w:r>
      <w:r w:rsidRPr="00EC427D">
        <w:rPr>
          <w:rFonts w:ascii="Bryant Pro Medium Alternate" w:hAnsi="Bryant Pro Medium Alternate" w:cstheme="minorHAnsi"/>
          <w:color w:val="009EDB" w:themeColor="text1"/>
        </w:rPr>
        <w:t xml:space="preserve"> (Verifiable Backflow Preventer with Reduced Pressure Zone), commonly known as an RPZ valve, on water fittings installations conveying water that is supplied by Welsh Water.</w:t>
      </w:r>
    </w:p>
    <w:p w14:paraId="4E257A0C" w14:textId="7E023DBA" w:rsidR="00702AB4" w:rsidRPr="00EC427D" w:rsidRDefault="00702AB4" w:rsidP="00746AF5">
      <w:pPr>
        <w:rPr>
          <w:rFonts w:ascii="Bryant Pro Medium Alternate" w:hAnsi="Bryant Pro Medium Alternate" w:cstheme="minorHAnsi"/>
          <w:color w:val="009EDB" w:themeColor="text1"/>
        </w:rPr>
      </w:pPr>
      <w:r w:rsidRPr="00EC427D">
        <w:rPr>
          <w:rFonts w:ascii="Bryant Pro Medium Alternate" w:hAnsi="Bryant Pro Medium Alternate" w:cstheme="minorHAnsi"/>
          <w:color w:val="009EDB" w:themeColor="text1"/>
        </w:rPr>
        <w:t>Failure to adhere to these terms may result in prosecution for infringements under The Water Supply (Water Fittings) Regulations 1999 and/or relevant sections of The Water Industry Act 1991.</w:t>
      </w:r>
    </w:p>
    <w:p w14:paraId="0EC80FF4" w14:textId="3706F704" w:rsidR="00702AB4" w:rsidRPr="00EC427D" w:rsidRDefault="00702AB4" w:rsidP="007755FB">
      <w:pPr>
        <w:rPr>
          <w:rFonts w:ascii="Bryant Pro Medium Alternate" w:hAnsi="Bryant Pro Medium Alternate" w:cstheme="minorHAnsi"/>
          <w:color w:val="009EDB" w:themeColor="text1"/>
          <w:sz w:val="24"/>
          <w:szCs w:val="24"/>
        </w:rPr>
      </w:pPr>
      <w:r w:rsidRPr="00EC427D">
        <w:rPr>
          <w:rFonts w:ascii="Bryant Pro Medium Alternate" w:hAnsi="Bryant Pro Medium Alternate" w:cstheme="minorHAnsi"/>
          <w:color w:val="009EDB" w:themeColor="text1"/>
          <w:sz w:val="24"/>
          <w:szCs w:val="24"/>
        </w:rPr>
        <w:t>Notification, installation and commissioning.</w:t>
      </w:r>
    </w:p>
    <w:p w14:paraId="4D523342" w14:textId="5E7D8136" w:rsidR="00702AB4" w:rsidRPr="00702AB4" w:rsidRDefault="00702AB4" w:rsidP="007755FB">
      <w:pPr>
        <w:rPr>
          <w:rFonts w:ascii="Bryant Pro Medium Alternate" w:hAnsi="Bryant Pro Medium Alternate" w:cstheme="minorHAnsi"/>
        </w:rPr>
      </w:pPr>
      <w:r w:rsidRPr="64CB1B47">
        <w:rPr>
          <w:rFonts w:ascii="Bryant Pro Medium Alternate" w:hAnsi="Bryant Pro Medium Alternate"/>
        </w:rPr>
        <w:t>The installation of these fittings is subject to prior written consent from Welsh Water. In all instances, consent shall be sought by a customer using a notification form.</w:t>
      </w:r>
    </w:p>
    <w:p w14:paraId="330D0990" w14:textId="5BF06053" w:rsidR="00702AB4" w:rsidRPr="00283A67" w:rsidRDefault="00702AB4" w:rsidP="00283A67">
      <w:pPr>
        <w:pStyle w:val="ListParagraph"/>
        <w:numPr>
          <w:ilvl w:val="0"/>
          <w:numId w:val="16"/>
        </w:numPr>
        <w:rPr>
          <w:rFonts w:ascii="Bryant Pro Medium Alternate" w:hAnsi="Bryant Pro Medium Alternate" w:cstheme="minorHAnsi"/>
        </w:rPr>
      </w:pPr>
      <w:r w:rsidRPr="64CB1B47">
        <w:rPr>
          <w:rFonts w:ascii="Bryant Pro Medium Alternate" w:hAnsi="Bryant Pro Medium Alternate"/>
        </w:rPr>
        <w:t>RPZ Valves must be installed, commissioned, tested and maintained in accordance with the requirements of the current edition of Water Regs UK’s</w:t>
      </w:r>
      <w:r w:rsidR="0098720B">
        <w:t xml:space="preserve"> </w:t>
      </w:r>
      <w:hyperlink r:id="rId8" w:tgtFrame="_blank" w:history="1">
        <w:r w:rsidR="0098720B" w:rsidRPr="0098720B">
          <w:rPr>
            <w:rStyle w:val="Hyperlink"/>
          </w:rPr>
          <w:t>Water Undertake</w:t>
        </w:r>
        <w:r w:rsidR="0098720B" w:rsidRPr="0098720B">
          <w:rPr>
            <w:rStyle w:val="Hyperlink"/>
          </w:rPr>
          <w:t>r</w:t>
        </w:r>
        <w:r w:rsidR="0098720B" w:rsidRPr="0098720B">
          <w:rPr>
            <w:rStyle w:val="Hyperlink"/>
          </w:rPr>
          <w:t>s’ RPZ AIM</w:t>
        </w:r>
      </w:hyperlink>
      <w:r w:rsidR="00277025" w:rsidRPr="64CB1B47">
        <w:rPr>
          <w:rFonts w:ascii="Bryant Pro Medium Alternate" w:hAnsi="Bryant Pro Medium Alternate"/>
          <w:b/>
          <w:bCs/>
        </w:rPr>
        <w:t>.</w:t>
      </w:r>
      <w:r w:rsidR="00277025" w:rsidRPr="64CB1B47">
        <w:rPr>
          <w:rFonts w:ascii="Bryant Pro Medium Alternate" w:hAnsi="Bryant Pro Medium Alternate"/>
          <w:b/>
        </w:rPr>
        <w:t xml:space="preserve"> </w:t>
      </w:r>
      <w:r w:rsidRPr="64CB1B47">
        <w:rPr>
          <w:rFonts w:ascii="Bryant Pro Medium Alternate" w:hAnsi="Bryant Pro Medium Alternate"/>
        </w:rPr>
        <w:t xml:space="preserve">These installations must also comply with </w:t>
      </w:r>
      <w:r w:rsidRPr="64CB1B47">
        <w:rPr>
          <w:rFonts w:ascii="Bryant Pro Medium Alternate" w:hAnsi="Bryant Pro Medium Alternate"/>
          <w:i/>
        </w:rPr>
        <w:t xml:space="preserve">The Water Supply (Water Fittings) Regulations 1999. </w:t>
      </w:r>
      <w:r w:rsidRPr="64CB1B47">
        <w:rPr>
          <w:rFonts w:ascii="Bryant Pro Medium Alternate" w:hAnsi="Bryant Pro Medium Alternate"/>
        </w:rPr>
        <w:t xml:space="preserve">The requirements of the AIM and The Regulations are to be applied in addition to these </w:t>
      </w:r>
      <w:r w:rsidR="00BF2511" w:rsidRPr="64CB1B47">
        <w:rPr>
          <w:rFonts w:ascii="Bryant Pro Medium Alternate" w:hAnsi="Bryant Pro Medium Alternate"/>
        </w:rPr>
        <w:t>terms.</w:t>
      </w:r>
      <w:r w:rsidR="00BF2511" w:rsidRPr="00283A67">
        <w:rPr>
          <w:rFonts w:ascii="Bryant Pro Medium Alternate" w:hAnsi="Bryant Pro Medium Alternate" w:cstheme="minorHAnsi"/>
        </w:rPr>
        <w:t xml:space="preserve"> RPZ</w:t>
      </w:r>
      <w:r w:rsidRPr="00283A67">
        <w:rPr>
          <w:rFonts w:ascii="Bryant Pro Medium Alternate" w:hAnsi="Bryant Pro Medium Alternate" w:cstheme="minorHAnsi"/>
        </w:rPr>
        <w:t xml:space="preserve"> valves and fittings associated with their installation shall have current and valid evidence of compliance with Regulation 4 of The Water Supply (Water Fittings) Regulations 1999 at the time of installation. Welsh Water shall request evidence of compliance for the product to be installed prior to granting consent to its installation. </w:t>
      </w:r>
      <w:r w:rsidRPr="00283A67">
        <w:rPr>
          <w:rFonts w:ascii="Bryant Pro Medium Alternate" w:hAnsi="Bryant Pro Medium Alternate" w:cstheme="minorHAnsi"/>
          <w:i/>
          <w:iCs/>
        </w:rPr>
        <w:t>An example of sufficient evidence would be current and valid certification or approval.</w:t>
      </w:r>
    </w:p>
    <w:p w14:paraId="1634A631" w14:textId="77777777" w:rsidR="00702AB4" w:rsidRPr="00702AB4" w:rsidRDefault="00702AB4" w:rsidP="007755FB">
      <w:pPr>
        <w:rPr>
          <w:rFonts w:ascii="Bryant Pro Medium Alternate" w:hAnsi="Bryant Pro Medium Alternate" w:cstheme="minorHAnsi"/>
        </w:rPr>
      </w:pPr>
    </w:p>
    <w:p w14:paraId="7CD86736" w14:textId="6DA75E1B"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Welsh Water may impose further conditions upon the installation of these fittings as deemed appropriate when granting consent to the proposed works.</w:t>
      </w:r>
    </w:p>
    <w:p w14:paraId="14FC726A" w14:textId="77777777" w:rsidR="00702AB4" w:rsidRPr="00702AB4" w:rsidRDefault="00702AB4" w:rsidP="007755FB">
      <w:pPr>
        <w:rPr>
          <w:rFonts w:ascii="Bryant Pro Medium Alternate" w:hAnsi="Bryant Pro Medium Alternate" w:cstheme="minorHAnsi"/>
        </w:rPr>
      </w:pPr>
    </w:p>
    <w:p w14:paraId="33BE0049" w14:textId="69F0D39C" w:rsidR="00702AB4" w:rsidRPr="003C3F11" w:rsidRDefault="00B55854" w:rsidP="00283A67">
      <w:pPr>
        <w:pStyle w:val="ListParagraph"/>
        <w:numPr>
          <w:ilvl w:val="0"/>
          <w:numId w:val="16"/>
        </w:numPr>
        <w:rPr>
          <w:rFonts w:ascii="Bryant Pro Medium Alternate" w:hAnsi="Bryant Pro Medium Alternate" w:cstheme="minorHAnsi"/>
          <w:color w:val="FF0000"/>
        </w:rPr>
      </w:pPr>
      <w:r w:rsidRPr="00283A67">
        <w:rPr>
          <w:rFonts w:ascii="Bryant Pro Medium Alternate" w:hAnsi="Bryant Pro Medium Alternate"/>
        </w:rPr>
        <w:t xml:space="preserve">After installation, an RPZ valve must be commissioned and tested by an accredited tester listed on </w:t>
      </w:r>
      <w:hyperlink r:id="rId9" w:tgtFrame="_blank" w:history="1">
        <w:proofErr w:type="spellStart"/>
        <w:r w:rsidR="00584F7F" w:rsidRPr="00283A67">
          <w:rPr>
            <w:rStyle w:val="Hyperlink"/>
            <w:rFonts w:ascii="Bryant Pro Medium Alternate" w:hAnsi="Bryant Pro Medium Alternate"/>
          </w:rPr>
          <w:t>WaterSafe</w:t>
        </w:r>
        <w:proofErr w:type="spellEnd"/>
      </w:hyperlink>
      <w:r w:rsidR="0089172E" w:rsidRPr="00283A67">
        <w:rPr>
          <w:rFonts w:ascii="Bryant Pro Medium Alternate" w:hAnsi="Bryant Pro Medium Alternate"/>
          <w:u w:val="single"/>
        </w:rPr>
        <w:t>.</w:t>
      </w:r>
      <w:r w:rsidR="005B2BCD" w:rsidRPr="00283A67">
        <w:rPr>
          <w:rFonts w:ascii="Bryant Pro Medium Alternate" w:hAnsi="Bryant Pro Medium Alternate"/>
          <w:u w:val="single"/>
        </w:rPr>
        <w:t xml:space="preserve"> </w:t>
      </w:r>
      <w:r w:rsidR="00702AB4" w:rsidRPr="003C3F11">
        <w:rPr>
          <w:rFonts w:ascii="Bryant Pro Medium Alternate" w:hAnsi="Bryant Pro Medium Alternate" w:cstheme="minorHAnsi"/>
          <w:b/>
          <w:bCs/>
          <w:color w:val="FF0000"/>
        </w:rPr>
        <w:t>This must be conducted prior to any valve being put into service.</w:t>
      </w:r>
    </w:p>
    <w:p w14:paraId="1B1DB7B4" w14:textId="77777777" w:rsidR="00702AB4" w:rsidRPr="00702AB4" w:rsidRDefault="00702AB4" w:rsidP="007755FB">
      <w:pPr>
        <w:rPr>
          <w:rFonts w:ascii="Bryant Pro Medium Alternate" w:hAnsi="Bryant Pro Medium Alternate" w:cstheme="minorHAnsi"/>
        </w:rPr>
      </w:pPr>
    </w:p>
    <w:p w14:paraId="5EC693A8" w14:textId="0E270A17"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The Installation of an RPZ valve is only permitted subject to these Terms and Conditions being</w:t>
      </w:r>
      <w:r w:rsidR="00A92A84" w:rsidRPr="00283A67">
        <w:rPr>
          <w:rFonts w:ascii="Bryant Pro Medium Alternate" w:hAnsi="Bryant Pro Medium Alternate" w:cstheme="minorHAnsi"/>
        </w:rPr>
        <w:t xml:space="preserve"> </w:t>
      </w:r>
      <w:r w:rsidRPr="00283A67">
        <w:rPr>
          <w:rFonts w:ascii="Bryant Pro Medium Alternate" w:hAnsi="Bryant Pro Medium Alternate" w:cstheme="minorHAnsi"/>
        </w:rPr>
        <w:t>met. Failure to satisfy these Terms and Conditions may result in Welsh Water requiring the removal of an RPZ valve assembly and the provision of appropriate alternative backflow protection.</w:t>
      </w:r>
    </w:p>
    <w:p w14:paraId="2021F7A8" w14:textId="77777777" w:rsidR="003C3F11" w:rsidRDefault="003C3F11" w:rsidP="00283C2A">
      <w:pPr>
        <w:pStyle w:val="ListParagraph"/>
        <w:rPr>
          <w:rFonts w:ascii="Bryant Pro Medium Alternate" w:hAnsi="Bryant Pro Medium Alternate" w:cstheme="minorHAnsi"/>
          <w:color w:val="7ECBFF" w:themeColor="text2" w:themeTint="66"/>
          <w:sz w:val="24"/>
          <w:szCs w:val="24"/>
        </w:rPr>
      </w:pPr>
    </w:p>
    <w:p w14:paraId="031B8A0C" w14:textId="1E042591" w:rsidR="00702AB4" w:rsidRPr="000A6267" w:rsidRDefault="00702AB4" w:rsidP="00283C2A">
      <w:pPr>
        <w:pStyle w:val="ListParagraph"/>
        <w:rPr>
          <w:rFonts w:ascii="Bryant Pro Medium Alternate" w:hAnsi="Bryant Pro Medium Alternate" w:cstheme="minorHAnsi"/>
          <w:color w:val="009EDB" w:themeColor="text1"/>
          <w:sz w:val="24"/>
          <w:szCs w:val="24"/>
        </w:rPr>
      </w:pPr>
      <w:r w:rsidRPr="000A6267">
        <w:rPr>
          <w:rFonts w:ascii="Bryant Pro Medium Alternate" w:hAnsi="Bryant Pro Medium Alternate" w:cstheme="minorHAnsi"/>
          <w:color w:val="009EDB" w:themeColor="text1"/>
          <w:sz w:val="24"/>
          <w:szCs w:val="24"/>
        </w:rPr>
        <w:t>Maintenance and compliance testing.</w:t>
      </w:r>
    </w:p>
    <w:p w14:paraId="2F36CFBE" w14:textId="77777777" w:rsidR="003C3F11" w:rsidRPr="00283A67" w:rsidRDefault="003C3F11" w:rsidP="00283C2A">
      <w:pPr>
        <w:pStyle w:val="ListParagraph"/>
        <w:rPr>
          <w:rFonts w:ascii="Bryant Pro Medium Alternate" w:hAnsi="Bryant Pro Medium Alternate" w:cstheme="minorHAnsi"/>
          <w:color w:val="7ECBFF" w:themeColor="text2" w:themeTint="66"/>
          <w:sz w:val="24"/>
          <w:szCs w:val="24"/>
        </w:rPr>
      </w:pPr>
    </w:p>
    <w:p w14:paraId="528BA50E" w14:textId="105AC900"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lastRenderedPageBreak/>
        <w:t>RPZ valves and associated fittings shall be maintained by the customer in accordance with the manufacturer’s recommendations. Welsh Water may, at their discretion, impose other conditions upon the maintenance of any RPZ valve.</w:t>
      </w:r>
    </w:p>
    <w:p w14:paraId="5247FADB" w14:textId="77777777" w:rsidR="00702AB4" w:rsidRPr="00702AB4" w:rsidRDefault="00702AB4" w:rsidP="007755FB">
      <w:pPr>
        <w:rPr>
          <w:rFonts w:ascii="Bryant Pro Medium Alternate" w:hAnsi="Bryant Pro Medium Alternate" w:cstheme="minorHAnsi"/>
        </w:rPr>
      </w:pPr>
    </w:p>
    <w:p w14:paraId="3DEEA247" w14:textId="2E2C62D5"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The customer shall be required to operate an inspection and maintenance programme which ensures that RPZ valves are tested at intervals specified by the manufacturer, or at intervals not exceeding 12 months - whichever is the shorter period. Welsh Water may impose the requirement for inspection and maintenance to be undertaken at shorter intervals where it is felt necessary.</w:t>
      </w:r>
    </w:p>
    <w:p w14:paraId="06D4431B" w14:textId="77777777" w:rsidR="00702AB4" w:rsidRPr="00702AB4" w:rsidRDefault="00702AB4" w:rsidP="007755FB">
      <w:pPr>
        <w:rPr>
          <w:rFonts w:ascii="Bryant Pro Medium Alternate" w:hAnsi="Bryant Pro Medium Alternate" w:cstheme="minorHAnsi"/>
        </w:rPr>
      </w:pPr>
    </w:p>
    <w:p w14:paraId="181F16F6" w14:textId="59D4C77A"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Test report certificates shall be retained by the customer alongside any other documents relating to the installation and maintenance of an RPZ valve. These shall be stored in manner which is readily accessible for the purposes of review by Welsh Water. We may request this information from you during inspection or review.</w:t>
      </w:r>
    </w:p>
    <w:p w14:paraId="7BC09F06" w14:textId="77777777" w:rsidR="00702AB4" w:rsidRPr="00702AB4" w:rsidRDefault="00702AB4" w:rsidP="007755FB">
      <w:pPr>
        <w:rPr>
          <w:rFonts w:ascii="Bryant Pro Medium Alternate" w:hAnsi="Bryant Pro Medium Alternate" w:cstheme="minorHAnsi"/>
        </w:rPr>
      </w:pPr>
    </w:p>
    <w:p w14:paraId="27A1AA35" w14:textId="0C14C970"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Welsh Water may insist upon additional in-situ testing of an RPZ valve at any time and may specify that in-situ testing be conducted more frequently than specified in the AIM where it is deemed appropriate.</w:t>
      </w:r>
    </w:p>
    <w:p w14:paraId="000B8501" w14:textId="77777777" w:rsidR="00702AB4" w:rsidRPr="00702AB4" w:rsidRDefault="00702AB4" w:rsidP="007755FB">
      <w:pPr>
        <w:rPr>
          <w:rFonts w:ascii="Bryant Pro Medium Alternate" w:hAnsi="Bryant Pro Medium Alternate" w:cstheme="minorHAnsi"/>
        </w:rPr>
      </w:pPr>
    </w:p>
    <w:p w14:paraId="54FA315B" w14:textId="5A82EFFA"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Compliance testing of an RPZ valve may be carried out up to a maximum of 30 days prior to the required date of next test without affecting the subsequent re-test date.</w:t>
      </w:r>
    </w:p>
    <w:p w14:paraId="1D446088" w14:textId="77777777" w:rsidR="00702AB4" w:rsidRPr="00702AB4" w:rsidRDefault="00702AB4" w:rsidP="007755FB">
      <w:pPr>
        <w:rPr>
          <w:rFonts w:ascii="Bryant Pro Medium Alternate" w:hAnsi="Bryant Pro Medium Alternate" w:cstheme="minorHAnsi"/>
        </w:rPr>
      </w:pPr>
    </w:p>
    <w:p w14:paraId="6337F4CE" w14:textId="31182CA5"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Compliance testing of RPZ valves shall be carried out at the customer’s expense by an accredited tester. The customer shall display a notice in a prominent position close to the assembly to advise those nearby that any problems with the assembly should be reported immediately and that maintenance is only to be performed by authorised and suitably trained personnel.</w:t>
      </w:r>
    </w:p>
    <w:p w14:paraId="74B773E6" w14:textId="77777777" w:rsidR="00702AB4" w:rsidRPr="00702AB4" w:rsidRDefault="00702AB4" w:rsidP="007755FB">
      <w:pPr>
        <w:rPr>
          <w:rFonts w:ascii="Bryant Pro Medium Alternate" w:hAnsi="Bryant Pro Medium Alternate" w:cstheme="minorHAnsi"/>
        </w:rPr>
      </w:pPr>
    </w:p>
    <w:p w14:paraId="3CE6426E" w14:textId="66C4DF77" w:rsidR="00702AB4" w:rsidRPr="00283A67" w:rsidRDefault="00B66591" w:rsidP="00283A67">
      <w:pPr>
        <w:pStyle w:val="ListParagraph"/>
        <w:numPr>
          <w:ilvl w:val="0"/>
          <w:numId w:val="16"/>
        </w:numPr>
        <w:rPr>
          <w:rFonts w:ascii="Bryant Pro Medium Alternate" w:hAnsi="Bryant Pro Medium Alternate" w:cstheme="minorHAnsi"/>
        </w:rPr>
      </w:pPr>
      <w:r>
        <w:rPr>
          <w:rFonts w:ascii="Bryant Pro Medium Alternate" w:hAnsi="Bryant Pro Medium Alternate" w:cstheme="minorHAnsi"/>
        </w:rPr>
        <w:t xml:space="preserve">No </w:t>
      </w:r>
      <w:r w:rsidR="00FC448E">
        <w:rPr>
          <w:rFonts w:ascii="Bryant Pro Medium Alternate" w:hAnsi="Bryant Pro Medium Alternate" w:cstheme="minorHAnsi"/>
        </w:rPr>
        <w:t xml:space="preserve">Changes </w:t>
      </w:r>
      <w:r w:rsidR="00802385">
        <w:rPr>
          <w:rFonts w:ascii="Bryant Pro Medium Alternate" w:hAnsi="Bryant Pro Medium Alternate" w:cstheme="minorHAnsi"/>
        </w:rPr>
        <w:t xml:space="preserve">/ </w:t>
      </w:r>
      <w:r w:rsidR="00702AB4" w:rsidRPr="00283A67">
        <w:rPr>
          <w:rFonts w:ascii="Bryant Pro Medium Alternate" w:hAnsi="Bryant Pro Medium Alternate" w:cstheme="minorHAnsi"/>
        </w:rPr>
        <w:t xml:space="preserve">alterations </w:t>
      </w:r>
      <w:r w:rsidR="00B92622">
        <w:rPr>
          <w:rFonts w:ascii="Bryant Pro Medium Alternate" w:hAnsi="Bryant Pro Medium Alternate" w:cstheme="minorHAnsi"/>
        </w:rPr>
        <w:t xml:space="preserve">to any </w:t>
      </w:r>
      <w:r w:rsidR="00702AB4" w:rsidRPr="00283A67">
        <w:rPr>
          <w:rFonts w:ascii="Bryant Pro Medium Alternate" w:hAnsi="Bryant Pro Medium Alternate" w:cstheme="minorHAnsi"/>
        </w:rPr>
        <w:t xml:space="preserve">plumbing </w:t>
      </w:r>
      <w:r w:rsidR="00B92622">
        <w:rPr>
          <w:rFonts w:ascii="Bryant Pro Medium Alternate" w:hAnsi="Bryant Pro Medium Alternate" w:cstheme="minorHAnsi"/>
        </w:rPr>
        <w:t>systems</w:t>
      </w:r>
      <w:r w:rsidR="00702AB4" w:rsidRPr="00283A67">
        <w:rPr>
          <w:rFonts w:ascii="Bryant Pro Medium Alternate" w:hAnsi="Bryant Pro Medium Alternate" w:cstheme="minorHAnsi"/>
        </w:rPr>
        <w:t xml:space="preserve"> containing an RPZ valve shall be made without the written consent of Welsh Water. Proposed changes</w:t>
      </w:r>
      <w:r w:rsidR="00154A54" w:rsidRPr="00283A67">
        <w:rPr>
          <w:rFonts w:ascii="Bryant Pro Medium Alternate" w:hAnsi="Bryant Pro Medium Alternate" w:cstheme="minorHAnsi"/>
        </w:rPr>
        <w:t xml:space="preserve"> are </w:t>
      </w:r>
      <w:hyperlink r:id="rId10" w:history="1">
        <w:r w:rsidR="00154A54" w:rsidRPr="00283A67">
          <w:rPr>
            <w:rStyle w:val="Hyperlink"/>
            <w:rFonts w:ascii="Bryant Pro Medium Alternate" w:hAnsi="Bryant Pro Medium Alternate" w:cstheme="minorHAnsi"/>
          </w:rPr>
          <w:t>notifiable</w:t>
        </w:r>
      </w:hyperlink>
      <w:r w:rsidR="00154A54" w:rsidRPr="00283A67">
        <w:rPr>
          <w:rFonts w:ascii="Bryant Pro Medium Alternate" w:hAnsi="Bryant Pro Medium Alternate" w:cstheme="minorHAnsi"/>
        </w:rPr>
        <w:t xml:space="preserve"> under Regulation 5 of the Regulations.</w:t>
      </w:r>
    </w:p>
    <w:p w14:paraId="688F43CF" w14:textId="77777777" w:rsidR="00702AB4" w:rsidRPr="00702AB4" w:rsidRDefault="00702AB4" w:rsidP="007755FB">
      <w:pPr>
        <w:rPr>
          <w:rFonts w:ascii="Bryant Pro Medium Alternate" w:hAnsi="Bryant Pro Medium Alternate" w:cstheme="minorHAnsi"/>
        </w:rPr>
      </w:pPr>
    </w:p>
    <w:p w14:paraId="5B2951D6" w14:textId="557B4F66" w:rsidR="00702AB4"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Where an RPZ valve is no longer required, the customer shall continue to maintain and test it</w:t>
      </w:r>
      <w:r w:rsidR="00DE661B">
        <w:rPr>
          <w:rFonts w:ascii="Bryant Pro Medium Alternate" w:hAnsi="Bryant Pro Medium Alternate" w:cstheme="minorHAnsi"/>
        </w:rPr>
        <w:t xml:space="preserve"> as per the requirements of these Terms and Conditions</w:t>
      </w:r>
      <w:r w:rsidRPr="00283A67">
        <w:rPr>
          <w:rFonts w:ascii="Bryant Pro Medium Alternate" w:hAnsi="Bryant Pro Medium Alternate" w:cstheme="minorHAnsi"/>
        </w:rPr>
        <w:t>. Alternatively, consent to remove the valve should be sought from Welsh Water.</w:t>
      </w:r>
    </w:p>
    <w:p w14:paraId="127FB845" w14:textId="77777777" w:rsidR="00432379" w:rsidRPr="00432379" w:rsidRDefault="00432379" w:rsidP="00432379">
      <w:pPr>
        <w:pStyle w:val="ListParagraph"/>
        <w:rPr>
          <w:rFonts w:ascii="Bryant Pro Medium Alternate" w:hAnsi="Bryant Pro Medium Alternate" w:cstheme="minorHAnsi"/>
        </w:rPr>
      </w:pPr>
    </w:p>
    <w:p w14:paraId="04CEF453" w14:textId="0B5DD6A7" w:rsidR="00432379" w:rsidRPr="00283A67" w:rsidRDefault="000D7058" w:rsidP="00283A67">
      <w:pPr>
        <w:pStyle w:val="ListParagraph"/>
        <w:numPr>
          <w:ilvl w:val="0"/>
          <w:numId w:val="16"/>
        </w:numPr>
        <w:rPr>
          <w:rFonts w:ascii="Bryant Pro Medium Alternate" w:hAnsi="Bryant Pro Medium Alternate" w:cstheme="minorHAnsi"/>
        </w:rPr>
      </w:pPr>
      <w:r>
        <w:rPr>
          <w:rFonts w:ascii="Bryant Pro Medium Alternate" w:hAnsi="Bryant Pro Medium Alternate" w:cstheme="minorHAnsi"/>
        </w:rPr>
        <w:t>Dwr Cymru must be notified of any changes to customer</w:t>
      </w:r>
      <w:r w:rsidR="0050632E">
        <w:rPr>
          <w:rFonts w:ascii="Bryant Pro Medium Alternate" w:hAnsi="Bryant Pro Medium Alternate" w:cstheme="minorHAnsi"/>
        </w:rPr>
        <w:t xml:space="preserve"> / responsible person</w:t>
      </w:r>
      <w:r>
        <w:rPr>
          <w:rFonts w:ascii="Bryant Pro Medium Alternate" w:hAnsi="Bryant Pro Medium Alternate" w:cstheme="minorHAnsi"/>
        </w:rPr>
        <w:t xml:space="preserve"> contact details</w:t>
      </w:r>
      <w:r w:rsidR="0050632E">
        <w:rPr>
          <w:rFonts w:ascii="Bryant Pro Medium Alternate" w:hAnsi="Bryant Pro Medium Alternate" w:cstheme="minorHAnsi"/>
        </w:rPr>
        <w:t xml:space="preserve">, to ensure </w:t>
      </w:r>
      <w:r w:rsidR="001D04E0">
        <w:rPr>
          <w:rFonts w:ascii="Bryant Pro Medium Alternate" w:hAnsi="Bryant Pro Medium Alternate" w:cstheme="minorHAnsi"/>
        </w:rPr>
        <w:t>our records are maintained and up to date</w:t>
      </w:r>
      <w:r w:rsidR="00597940">
        <w:rPr>
          <w:rFonts w:ascii="Bryant Pro Medium Alternate" w:hAnsi="Bryant Pro Medium Alternate" w:cstheme="minorHAnsi"/>
        </w:rPr>
        <w:t xml:space="preserve"> for future correspondence.</w:t>
      </w:r>
    </w:p>
    <w:p w14:paraId="5B355F53" w14:textId="77777777" w:rsidR="00702AB4" w:rsidRPr="00702AB4" w:rsidRDefault="00702AB4" w:rsidP="007755FB">
      <w:pPr>
        <w:rPr>
          <w:rFonts w:ascii="Bryant Pro Medium Alternate" w:hAnsi="Bryant Pro Medium Alternate" w:cstheme="minorHAnsi"/>
        </w:rPr>
      </w:pPr>
    </w:p>
    <w:p w14:paraId="2996D22A" w14:textId="0B8A29C3"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The Customer shall permit any authorised employee or agent of Welsh Water to enter the premises at all reasonable times for purposes relating to these terms. This is in addition to Welsh Water’ statutory right of entry.</w:t>
      </w:r>
    </w:p>
    <w:p w14:paraId="7AD2353B" w14:textId="77777777" w:rsidR="003C3F11" w:rsidRDefault="003C3F11" w:rsidP="003C3F11">
      <w:pPr>
        <w:pStyle w:val="ListParagraph"/>
        <w:rPr>
          <w:rFonts w:ascii="Bryant Pro Medium Alternate" w:hAnsi="Bryant Pro Medium Alternate" w:cstheme="minorHAnsi"/>
          <w:color w:val="7ECBFF" w:themeColor="text2" w:themeTint="66"/>
          <w:sz w:val="24"/>
          <w:szCs w:val="24"/>
        </w:rPr>
      </w:pPr>
    </w:p>
    <w:p w14:paraId="1DBAA145" w14:textId="6662E403" w:rsidR="00702AB4" w:rsidRPr="000A6267" w:rsidRDefault="00702AB4" w:rsidP="003C3F11">
      <w:pPr>
        <w:pStyle w:val="ListParagraph"/>
        <w:rPr>
          <w:rFonts w:ascii="Bryant Pro Medium Alternate" w:hAnsi="Bryant Pro Medium Alternate" w:cstheme="minorHAnsi"/>
          <w:color w:val="009EDB" w:themeColor="text1"/>
          <w:sz w:val="24"/>
          <w:szCs w:val="24"/>
        </w:rPr>
      </w:pPr>
      <w:r w:rsidRPr="000A6267">
        <w:rPr>
          <w:rFonts w:ascii="Bryant Pro Medium Alternate" w:hAnsi="Bryant Pro Medium Alternate" w:cstheme="minorHAnsi"/>
          <w:color w:val="009EDB" w:themeColor="text1"/>
          <w:sz w:val="24"/>
          <w:szCs w:val="24"/>
        </w:rPr>
        <w:t>Testing failures, repair and replacement.</w:t>
      </w:r>
    </w:p>
    <w:p w14:paraId="5B3C362F" w14:textId="77777777" w:rsidR="003C3F11" w:rsidRPr="00283A67" w:rsidRDefault="003C3F11" w:rsidP="003C3F11">
      <w:pPr>
        <w:pStyle w:val="ListParagraph"/>
        <w:rPr>
          <w:rFonts w:ascii="Bryant Pro Medium Alternate" w:hAnsi="Bryant Pro Medium Alternate" w:cstheme="minorHAnsi"/>
          <w:color w:val="7ECBFF" w:themeColor="text2" w:themeTint="66"/>
          <w:sz w:val="24"/>
          <w:szCs w:val="24"/>
        </w:rPr>
      </w:pPr>
    </w:p>
    <w:p w14:paraId="1BC99123" w14:textId="25405DB3" w:rsidR="00702AB4" w:rsidRPr="00995A2C" w:rsidRDefault="00702AB4" w:rsidP="00283A67">
      <w:pPr>
        <w:pStyle w:val="ListParagraph"/>
        <w:numPr>
          <w:ilvl w:val="0"/>
          <w:numId w:val="16"/>
        </w:numPr>
        <w:rPr>
          <w:rFonts w:ascii="Bryant Pro Medium Alternate" w:hAnsi="Bryant Pro Medium Alternate" w:cstheme="minorHAnsi"/>
          <w:b/>
          <w:bCs/>
          <w:color w:val="FF0000"/>
        </w:rPr>
      </w:pPr>
      <w:r w:rsidRPr="00283A67">
        <w:rPr>
          <w:rFonts w:ascii="Bryant Pro Medium Alternate" w:hAnsi="Bryant Pro Medium Alternate" w:cstheme="minorHAnsi"/>
        </w:rPr>
        <w:t xml:space="preserve">In the event of a commissioning or compliance test failure of any RPZ valve, Welsh Water must be informed as soon as is practicable and always within 24 hours. The nature of the test failure must be reported along with any actions taken. Where a failed valve cannot be repaired or replaced immediately, </w:t>
      </w:r>
      <w:r w:rsidRPr="00995A2C">
        <w:rPr>
          <w:rFonts w:ascii="Bryant Pro Medium Alternate" w:hAnsi="Bryant Pro Medium Alternate" w:cstheme="minorHAnsi"/>
          <w:b/>
          <w:bCs/>
          <w:color w:val="FF0000"/>
        </w:rPr>
        <w:t>Welsh Water must be notified immediately.</w:t>
      </w:r>
    </w:p>
    <w:p w14:paraId="1ED1A09E" w14:textId="77777777" w:rsidR="00702AB4" w:rsidRPr="00702AB4" w:rsidRDefault="00702AB4" w:rsidP="007755FB">
      <w:pPr>
        <w:rPr>
          <w:rFonts w:ascii="Bryant Pro Medium Alternate" w:hAnsi="Bryant Pro Medium Alternate" w:cstheme="minorHAnsi"/>
        </w:rPr>
      </w:pPr>
    </w:p>
    <w:p w14:paraId="6B0B8A03" w14:textId="727A1000"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RPZ valves must be isolated following a test failure until otherwise advised by Welsh Water. Welsh Water may insist that other remedial actions are taken following a failure where repair or replacement cannot be undertaken.</w:t>
      </w:r>
    </w:p>
    <w:p w14:paraId="34BA9345" w14:textId="77777777" w:rsidR="00702AB4" w:rsidRPr="00702AB4" w:rsidRDefault="00702AB4" w:rsidP="007755FB">
      <w:pPr>
        <w:rPr>
          <w:rFonts w:ascii="Bryant Pro Medium Alternate" w:hAnsi="Bryant Pro Medium Alternate" w:cstheme="minorHAnsi"/>
        </w:rPr>
      </w:pPr>
    </w:p>
    <w:p w14:paraId="74B09368" w14:textId="7F2C3795" w:rsidR="00702AB4" w:rsidRPr="00283A67" w:rsidRDefault="00702AB4" w:rsidP="00283A67">
      <w:pPr>
        <w:pStyle w:val="ListParagraph"/>
        <w:numPr>
          <w:ilvl w:val="0"/>
          <w:numId w:val="16"/>
        </w:numPr>
        <w:rPr>
          <w:rFonts w:ascii="Bryant Pro Medium Alternate" w:hAnsi="Bryant Pro Medium Alternate" w:cstheme="minorHAnsi"/>
        </w:rPr>
      </w:pPr>
      <w:r w:rsidRPr="00283A67">
        <w:rPr>
          <w:rFonts w:ascii="Bryant Pro Medium Alternate" w:hAnsi="Bryant Pro Medium Alternate" w:cstheme="minorHAnsi"/>
        </w:rPr>
        <w:t>Replacement components for any RPZ valve must conform to the manufacturer’s specifications for the model of valve that is installed. Following replacement or repair of components the valve must be recommissioned and tested by an accredited tester before being brought back into service.</w:t>
      </w:r>
    </w:p>
    <w:p w14:paraId="3513F8B7" w14:textId="77777777" w:rsidR="00702AB4" w:rsidRPr="00702AB4" w:rsidRDefault="00702AB4" w:rsidP="007755FB">
      <w:pPr>
        <w:rPr>
          <w:rFonts w:ascii="Bryant Pro Medium Alternate" w:hAnsi="Bryant Pro Medium Alternate" w:cstheme="minorHAnsi"/>
        </w:rPr>
      </w:pPr>
    </w:p>
    <w:p w14:paraId="2CF82C72" w14:textId="219258C1" w:rsidR="00702AB4" w:rsidRDefault="00702AB4" w:rsidP="60FB9C78">
      <w:pPr>
        <w:rPr>
          <w:rFonts w:ascii="Bryant Pro Medium Alternate" w:eastAsia="Bryant Pro Medium Alternate" w:hAnsi="Bryant Pro Medium Alternate" w:cs="Bryant Pro Medium Alternate"/>
          <w:sz w:val="24"/>
          <w:szCs w:val="24"/>
        </w:rPr>
      </w:pPr>
      <w:r w:rsidRPr="60FB9C78">
        <w:rPr>
          <w:rFonts w:ascii="Bryant Pro Medium Alternate" w:hAnsi="Bryant Pro Medium Alternate"/>
          <w:color w:val="009EDB" w:themeColor="text1"/>
        </w:rPr>
        <w:t xml:space="preserve">Welsh Water reserves the right to amend these Terms &amp; Conditions as may be necessary from time to time in accordance with changes to legislation or industry guidance. Changes will be communicated out to </w:t>
      </w:r>
      <w:r w:rsidR="3DC774B5" w:rsidRPr="60FB9C78">
        <w:rPr>
          <w:rFonts w:ascii="Bryant Pro Medium Alternate" w:hAnsi="Bryant Pro Medium Alternate"/>
          <w:color w:val="009EDB" w:themeColor="text1"/>
        </w:rPr>
        <w:t>a</w:t>
      </w:r>
      <w:r w:rsidR="3DC774B5" w:rsidRPr="60FB9C78">
        <w:rPr>
          <w:rFonts w:ascii="Bryant Pro Medium Alternate" w:eastAsia="Bryant Pro Medium Alternate" w:hAnsi="Bryant Pro Medium Alternate" w:cs="Bryant Pro Medium Alternate"/>
          <w:color w:val="009EDB" w:themeColor="text1"/>
        </w:rPr>
        <w:t>ll known responsible persons for notified valves.</w:t>
      </w:r>
    </w:p>
    <w:p w14:paraId="574BCE12" w14:textId="77777777" w:rsidR="008A32E2" w:rsidRDefault="008A32E2">
      <w:pPr>
        <w:rPr>
          <w:rFonts w:ascii="Bryant Pro Medium Alternate" w:hAnsi="Bryant Pro Medium Alternate" w:cstheme="minorHAnsi"/>
          <w:color w:val="7ECBFF" w:themeColor="text2" w:themeTint="66"/>
        </w:rPr>
      </w:pPr>
      <w:r>
        <w:rPr>
          <w:rFonts w:ascii="Bryant Pro Medium Alternate" w:hAnsi="Bryant Pro Medium Alternate" w:cstheme="minorHAnsi"/>
          <w:color w:val="7ECBFF" w:themeColor="text2" w:themeTint="66"/>
        </w:rPr>
        <w:br w:type="page"/>
      </w:r>
    </w:p>
    <w:p w14:paraId="3DA81D95" w14:textId="77777777" w:rsidR="005E64B3" w:rsidRPr="007B2251" w:rsidRDefault="005E64B3" w:rsidP="007755FB">
      <w:pPr>
        <w:rPr>
          <w:rFonts w:ascii="Bryant Pro Medium Alternate" w:hAnsi="Bryant Pro Medium Alternate" w:cstheme="minorHAnsi"/>
          <w:color w:val="7ECBFF" w:themeColor="text2" w:themeTint="66"/>
        </w:rPr>
      </w:pPr>
    </w:p>
    <w:sectPr w:rsidR="005E64B3" w:rsidRPr="007B2251" w:rsidSect="004910A7">
      <w:headerReference w:type="default" r:id="rId11"/>
      <w:footerReference w:type="default" r:id="rId12"/>
      <w:pgSz w:w="11906" w:h="16838"/>
      <w:pgMar w:top="1702" w:right="1440" w:bottom="212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8FF63" w14:textId="77777777" w:rsidR="00794F23" w:rsidRDefault="00794F23" w:rsidP="007669A3">
      <w:pPr>
        <w:spacing w:after="0" w:line="240" w:lineRule="auto"/>
      </w:pPr>
      <w:r>
        <w:separator/>
      </w:r>
    </w:p>
  </w:endnote>
  <w:endnote w:type="continuationSeparator" w:id="0">
    <w:p w14:paraId="00A34076" w14:textId="77777777" w:rsidR="00794F23" w:rsidRDefault="00794F23" w:rsidP="007669A3">
      <w:pPr>
        <w:spacing w:after="0" w:line="240" w:lineRule="auto"/>
      </w:pPr>
      <w:r>
        <w:continuationSeparator/>
      </w:r>
    </w:p>
  </w:endnote>
  <w:endnote w:type="continuationNotice" w:id="1">
    <w:p w14:paraId="3DB56BCC" w14:textId="77777777" w:rsidR="00794F23" w:rsidRDefault="00794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yant Pro Medium Alternate">
    <w:panose1 w:val="020B0603040000020003"/>
    <w:charset w:val="00"/>
    <w:family w:val="swiss"/>
    <w:notTrueType/>
    <w:pitch w:val="variable"/>
    <w:sig w:usb0="A00002AF" w:usb1="5000204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4554" w14:textId="0C839617" w:rsidR="00752580" w:rsidRDefault="005B6B80" w:rsidP="00FF5179">
    <w:pPr>
      <w:pStyle w:val="Footer"/>
      <w:jc w:val="right"/>
    </w:pPr>
    <w:r>
      <w:t xml:space="preserve">RPZ Valves </w:t>
    </w:r>
    <w:r w:rsidR="00752580">
      <w:t xml:space="preserve">T&amp;C </w:t>
    </w:r>
    <w:r w:rsidR="00126C43">
      <w:t>of Installation - I</w:t>
    </w:r>
    <w:r w:rsidR="00752580">
      <w:t xml:space="preserve">ssue 3 </w:t>
    </w:r>
    <w:r w:rsidR="00FF5179">
      <w:t xml:space="preserve">February </w:t>
    </w:r>
    <w:r w:rsidR="00752580">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4FB56" w14:textId="77777777" w:rsidR="00794F23" w:rsidRDefault="00794F23" w:rsidP="007669A3">
      <w:pPr>
        <w:spacing w:after="0" w:line="240" w:lineRule="auto"/>
      </w:pPr>
      <w:r>
        <w:separator/>
      </w:r>
    </w:p>
  </w:footnote>
  <w:footnote w:type="continuationSeparator" w:id="0">
    <w:p w14:paraId="7A736691" w14:textId="77777777" w:rsidR="00794F23" w:rsidRDefault="00794F23" w:rsidP="007669A3">
      <w:pPr>
        <w:spacing w:after="0" w:line="240" w:lineRule="auto"/>
      </w:pPr>
      <w:r>
        <w:continuationSeparator/>
      </w:r>
    </w:p>
  </w:footnote>
  <w:footnote w:type="continuationNotice" w:id="1">
    <w:p w14:paraId="0F4891CD" w14:textId="77777777" w:rsidR="00794F23" w:rsidRDefault="00794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287A" w14:textId="143BF84C" w:rsidR="002E6BF2" w:rsidRDefault="00702AB4" w:rsidP="00702AB4">
    <w:pPr>
      <w:pStyle w:val="Header"/>
      <w:tabs>
        <w:tab w:val="clear" w:pos="4513"/>
        <w:tab w:val="clear" w:pos="9026"/>
        <w:tab w:val="left" w:pos="7920"/>
      </w:tabs>
    </w:pPr>
    <w:r w:rsidRPr="00702AB4">
      <w:rPr>
        <w:noProof/>
      </w:rPr>
      <w:drawing>
        <wp:inline distT="0" distB="0" distL="0" distR="0" wp14:anchorId="3C9503F2" wp14:editId="031F90CC">
          <wp:extent cx="2152650" cy="640865"/>
          <wp:effectExtent l="0" t="0" r="0" b="6985"/>
          <wp:docPr id="922283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892" cy="645105"/>
                  </a:xfrm>
                  <a:prstGeom prst="rect">
                    <a:avLst/>
                  </a:prstGeom>
                  <a:noFill/>
                  <a:ln>
                    <a:noFill/>
                  </a:ln>
                </pic:spPr>
              </pic:pic>
            </a:graphicData>
          </a:graphic>
        </wp:inline>
      </w:drawing>
    </w:r>
    <w:r>
      <w:t xml:space="preserve">                                                                 </w:t>
    </w:r>
    <w:r w:rsidRPr="00702AB4">
      <w:rPr>
        <w:noProof/>
      </w:rPr>
      <w:drawing>
        <wp:inline distT="0" distB="0" distL="0" distR="0" wp14:anchorId="1579A61D" wp14:editId="7BC7F62D">
          <wp:extent cx="1799310" cy="531970"/>
          <wp:effectExtent l="0" t="0" r="0" b="1905"/>
          <wp:docPr id="381754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958" cy="5759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4515"/>
    <w:multiLevelType w:val="multilevel"/>
    <w:tmpl w:val="03563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0388A"/>
    <w:multiLevelType w:val="multilevel"/>
    <w:tmpl w:val="2C5A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30CF4"/>
    <w:multiLevelType w:val="multilevel"/>
    <w:tmpl w:val="2C5A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6C711A"/>
    <w:multiLevelType w:val="multilevel"/>
    <w:tmpl w:val="2C5A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94444"/>
    <w:multiLevelType w:val="multilevel"/>
    <w:tmpl w:val="2C5A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1B3E9B"/>
    <w:multiLevelType w:val="multilevel"/>
    <w:tmpl w:val="F9DAAE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B00A1"/>
    <w:multiLevelType w:val="multilevel"/>
    <w:tmpl w:val="B628C84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E5878"/>
    <w:multiLevelType w:val="hybridMultilevel"/>
    <w:tmpl w:val="AAD2E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563F2F"/>
    <w:multiLevelType w:val="hybridMultilevel"/>
    <w:tmpl w:val="C87A8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767466">
    <w:abstractNumId w:val="7"/>
  </w:num>
  <w:num w:numId="2" w16cid:durableId="893004249">
    <w:abstractNumId w:val="2"/>
  </w:num>
  <w:num w:numId="3" w16cid:durableId="484398466">
    <w:abstractNumId w:val="0"/>
    <w:lvlOverride w:ilvl="0">
      <w:lvl w:ilvl="0">
        <w:numFmt w:val="decimal"/>
        <w:lvlText w:val="%1."/>
        <w:lvlJc w:val="left"/>
      </w:lvl>
    </w:lvlOverride>
  </w:num>
  <w:num w:numId="4" w16cid:durableId="316374722">
    <w:abstractNumId w:val="0"/>
    <w:lvlOverride w:ilvl="0">
      <w:lvl w:ilvl="0">
        <w:numFmt w:val="decimal"/>
        <w:lvlText w:val="%1."/>
        <w:lvlJc w:val="left"/>
      </w:lvl>
    </w:lvlOverride>
  </w:num>
  <w:num w:numId="5" w16cid:durableId="1213226341">
    <w:abstractNumId w:val="0"/>
    <w:lvlOverride w:ilvl="0">
      <w:lvl w:ilvl="0">
        <w:numFmt w:val="decimal"/>
        <w:lvlText w:val="%1."/>
        <w:lvlJc w:val="left"/>
      </w:lvl>
    </w:lvlOverride>
  </w:num>
  <w:num w:numId="6" w16cid:durableId="888224258">
    <w:abstractNumId w:val="0"/>
    <w:lvlOverride w:ilvl="0">
      <w:lvl w:ilvl="0">
        <w:numFmt w:val="decimal"/>
        <w:lvlText w:val="%1."/>
        <w:lvlJc w:val="left"/>
      </w:lvl>
    </w:lvlOverride>
  </w:num>
  <w:num w:numId="7" w16cid:durableId="1112091995">
    <w:abstractNumId w:val="0"/>
    <w:lvlOverride w:ilvl="0">
      <w:lvl w:ilvl="0">
        <w:numFmt w:val="decimal"/>
        <w:lvlText w:val="%1."/>
        <w:lvlJc w:val="left"/>
      </w:lvl>
    </w:lvlOverride>
  </w:num>
  <w:num w:numId="8" w16cid:durableId="192113429">
    <w:abstractNumId w:val="0"/>
    <w:lvlOverride w:ilvl="0">
      <w:lvl w:ilvl="0">
        <w:numFmt w:val="decimal"/>
        <w:lvlText w:val="%1."/>
        <w:lvlJc w:val="left"/>
      </w:lvl>
    </w:lvlOverride>
  </w:num>
  <w:num w:numId="9" w16cid:durableId="1910722259">
    <w:abstractNumId w:val="0"/>
    <w:lvlOverride w:ilvl="0">
      <w:lvl w:ilvl="0">
        <w:numFmt w:val="decimal"/>
        <w:lvlText w:val="%1."/>
        <w:lvlJc w:val="left"/>
      </w:lvl>
    </w:lvlOverride>
  </w:num>
  <w:num w:numId="10" w16cid:durableId="1337146255">
    <w:abstractNumId w:val="0"/>
    <w:lvlOverride w:ilvl="0">
      <w:lvl w:ilvl="0">
        <w:numFmt w:val="decimal"/>
        <w:lvlText w:val="%1."/>
        <w:lvlJc w:val="left"/>
      </w:lvl>
    </w:lvlOverride>
  </w:num>
  <w:num w:numId="11" w16cid:durableId="2025787573">
    <w:abstractNumId w:val="0"/>
    <w:lvlOverride w:ilvl="0">
      <w:lvl w:ilvl="0">
        <w:numFmt w:val="decimal"/>
        <w:lvlText w:val="%1."/>
        <w:lvlJc w:val="left"/>
      </w:lvl>
    </w:lvlOverride>
  </w:num>
  <w:num w:numId="12" w16cid:durableId="750394247">
    <w:abstractNumId w:val="5"/>
    <w:lvlOverride w:ilvl="0">
      <w:lvl w:ilvl="0">
        <w:numFmt w:val="decimal"/>
        <w:lvlText w:val="%1."/>
        <w:lvlJc w:val="left"/>
      </w:lvl>
    </w:lvlOverride>
  </w:num>
  <w:num w:numId="13" w16cid:durableId="929779759">
    <w:abstractNumId w:val="5"/>
    <w:lvlOverride w:ilvl="0">
      <w:lvl w:ilvl="0">
        <w:numFmt w:val="decimal"/>
        <w:lvlText w:val="%1."/>
        <w:lvlJc w:val="left"/>
      </w:lvl>
    </w:lvlOverride>
  </w:num>
  <w:num w:numId="14" w16cid:durableId="234432715">
    <w:abstractNumId w:val="5"/>
    <w:lvlOverride w:ilvl="0">
      <w:lvl w:ilvl="0">
        <w:numFmt w:val="decimal"/>
        <w:lvlText w:val="%1."/>
        <w:lvlJc w:val="left"/>
      </w:lvl>
    </w:lvlOverride>
  </w:num>
  <w:num w:numId="15" w16cid:durableId="1861894450">
    <w:abstractNumId w:val="4"/>
  </w:num>
  <w:num w:numId="16" w16cid:durableId="1103186560">
    <w:abstractNumId w:val="6"/>
  </w:num>
  <w:num w:numId="17" w16cid:durableId="1989823798">
    <w:abstractNumId w:val="8"/>
  </w:num>
  <w:num w:numId="18" w16cid:durableId="434136975">
    <w:abstractNumId w:val="1"/>
  </w:num>
  <w:num w:numId="19" w16cid:durableId="187827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B3"/>
    <w:rsid w:val="00007856"/>
    <w:rsid w:val="00041401"/>
    <w:rsid w:val="0008795A"/>
    <w:rsid w:val="000A6267"/>
    <w:rsid w:val="000D18B0"/>
    <w:rsid w:val="000D7058"/>
    <w:rsid w:val="00101327"/>
    <w:rsid w:val="001029A1"/>
    <w:rsid w:val="00126C43"/>
    <w:rsid w:val="00130281"/>
    <w:rsid w:val="001512C4"/>
    <w:rsid w:val="0015155A"/>
    <w:rsid w:val="00154A54"/>
    <w:rsid w:val="00157A81"/>
    <w:rsid w:val="001A0082"/>
    <w:rsid w:val="001A234F"/>
    <w:rsid w:val="001C386C"/>
    <w:rsid w:val="001C654C"/>
    <w:rsid w:val="001D04E0"/>
    <w:rsid w:val="001E3C42"/>
    <w:rsid w:val="00207463"/>
    <w:rsid w:val="00210F12"/>
    <w:rsid w:val="00211EC6"/>
    <w:rsid w:val="00213CDC"/>
    <w:rsid w:val="0021696C"/>
    <w:rsid w:val="00277025"/>
    <w:rsid w:val="00283A67"/>
    <w:rsid w:val="00283C2A"/>
    <w:rsid w:val="00283C32"/>
    <w:rsid w:val="00297FDB"/>
    <w:rsid w:val="002E3997"/>
    <w:rsid w:val="002E625C"/>
    <w:rsid w:val="002E6BF2"/>
    <w:rsid w:val="002F4534"/>
    <w:rsid w:val="00361291"/>
    <w:rsid w:val="00376BC5"/>
    <w:rsid w:val="0039633C"/>
    <w:rsid w:val="003A6726"/>
    <w:rsid w:val="003B389C"/>
    <w:rsid w:val="003C3F11"/>
    <w:rsid w:val="003D65B5"/>
    <w:rsid w:val="003E6BCB"/>
    <w:rsid w:val="003F1CB6"/>
    <w:rsid w:val="00415E77"/>
    <w:rsid w:val="00432379"/>
    <w:rsid w:val="00480738"/>
    <w:rsid w:val="004910A7"/>
    <w:rsid w:val="004D01B7"/>
    <w:rsid w:val="004D71EB"/>
    <w:rsid w:val="00501008"/>
    <w:rsid w:val="0050632E"/>
    <w:rsid w:val="00507E8C"/>
    <w:rsid w:val="00516005"/>
    <w:rsid w:val="005531B3"/>
    <w:rsid w:val="00580B2D"/>
    <w:rsid w:val="00584F7F"/>
    <w:rsid w:val="00596412"/>
    <w:rsid w:val="00597940"/>
    <w:rsid w:val="005B27A0"/>
    <w:rsid w:val="005B28C9"/>
    <w:rsid w:val="005B2BCD"/>
    <w:rsid w:val="005B6B80"/>
    <w:rsid w:val="005E3C27"/>
    <w:rsid w:val="005E64B3"/>
    <w:rsid w:val="005F1449"/>
    <w:rsid w:val="00612350"/>
    <w:rsid w:val="00620DA5"/>
    <w:rsid w:val="00624B20"/>
    <w:rsid w:val="00630D66"/>
    <w:rsid w:val="00647A1A"/>
    <w:rsid w:val="006507A1"/>
    <w:rsid w:val="00685B4E"/>
    <w:rsid w:val="006B5F81"/>
    <w:rsid w:val="006C7205"/>
    <w:rsid w:val="006D0547"/>
    <w:rsid w:val="00702AB4"/>
    <w:rsid w:val="00713309"/>
    <w:rsid w:val="00732347"/>
    <w:rsid w:val="00746AF5"/>
    <w:rsid w:val="00752580"/>
    <w:rsid w:val="007669A3"/>
    <w:rsid w:val="007755FB"/>
    <w:rsid w:val="007939E3"/>
    <w:rsid w:val="00794F23"/>
    <w:rsid w:val="007B2251"/>
    <w:rsid w:val="007B7674"/>
    <w:rsid w:val="007D49D5"/>
    <w:rsid w:val="007D5D24"/>
    <w:rsid w:val="007E2912"/>
    <w:rsid w:val="007F1664"/>
    <w:rsid w:val="00802385"/>
    <w:rsid w:val="0081629E"/>
    <w:rsid w:val="00832324"/>
    <w:rsid w:val="008546EA"/>
    <w:rsid w:val="00854AC2"/>
    <w:rsid w:val="00863574"/>
    <w:rsid w:val="008814C9"/>
    <w:rsid w:val="0089172E"/>
    <w:rsid w:val="008A32E2"/>
    <w:rsid w:val="008E30B3"/>
    <w:rsid w:val="008F3621"/>
    <w:rsid w:val="008F7B07"/>
    <w:rsid w:val="00901AF8"/>
    <w:rsid w:val="0091670A"/>
    <w:rsid w:val="00922097"/>
    <w:rsid w:val="00927A0B"/>
    <w:rsid w:val="00951000"/>
    <w:rsid w:val="00957933"/>
    <w:rsid w:val="00966803"/>
    <w:rsid w:val="0098720B"/>
    <w:rsid w:val="00995A2C"/>
    <w:rsid w:val="009F6F27"/>
    <w:rsid w:val="00A0188B"/>
    <w:rsid w:val="00A36F6F"/>
    <w:rsid w:val="00A5465E"/>
    <w:rsid w:val="00A82F29"/>
    <w:rsid w:val="00A876F7"/>
    <w:rsid w:val="00A92A84"/>
    <w:rsid w:val="00AC50F6"/>
    <w:rsid w:val="00AD5266"/>
    <w:rsid w:val="00B02478"/>
    <w:rsid w:val="00B24D7B"/>
    <w:rsid w:val="00B35C29"/>
    <w:rsid w:val="00B46D83"/>
    <w:rsid w:val="00B55854"/>
    <w:rsid w:val="00B66591"/>
    <w:rsid w:val="00B81719"/>
    <w:rsid w:val="00B91229"/>
    <w:rsid w:val="00B92622"/>
    <w:rsid w:val="00B973E6"/>
    <w:rsid w:val="00B97983"/>
    <w:rsid w:val="00BB52A3"/>
    <w:rsid w:val="00BF0A64"/>
    <w:rsid w:val="00BF2511"/>
    <w:rsid w:val="00C54B9F"/>
    <w:rsid w:val="00C80AE8"/>
    <w:rsid w:val="00CD1811"/>
    <w:rsid w:val="00CD4C9A"/>
    <w:rsid w:val="00CE1785"/>
    <w:rsid w:val="00CF499A"/>
    <w:rsid w:val="00D32398"/>
    <w:rsid w:val="00D51F2F"/>
    <w:rsid w:val="00D63FAB"/>
    <w:rsid w:val="00D65DCD"/>
    <w:rsid w:val="00D93289"/>
    <w:rsid w:val="00D95041"/>
    <w:rsid w:val="00D97748"/>
    <w:rsid w:val="00DC6AC9"/>
    <w:rsid w:val="00DE661B"/>
    <w:rsid w:val="00DF1840"/>
    <w:rsid w:val="00DF1F09"/>
    <w:rsid w:val="00DF4C60"/>
    <w:rsid w:val="00E56A38"/>
    <w:rsid w:val="00E8436C"/>
    <w:rsid w:val="00EC427D"/>
    <w:rsid w:val="00EC4680"/>
    <w:rsid w:val="00ED785D"/>
    <w:rsid w:val="00EE1D5F"/>
    <w:rsid w:val="00EE4FAD"/>
    <w:rsid w:val="00EF63EB"/>
    <w:rsid w:val="00F7617A"/>
    <w:rsid w:val="00F8593B"/>
    <w:rsid w:val="00F86C23"/>
    <w:rsid w:val="00FC448E"/>
    <w:rsid w:val="00FE38FC"/>
    <w:rsid w:val="00FF5179"/>
    <w:rsid w:val="3DC774B5"/>
    <w:rsid w:val="3FD36FCC"/>
    <w:rsid w:val="60FB9C78"/>
    <w:rsid w:val="64CB1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72841"/>
  <w15:chartTrackingRefBased/>
  <w15:docId w15:val="{21348F2E-CC43-4A43-B7E1-498F8C94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4B3"/>
    <w:pPr>
      <w:ind w:left="720"/>
      <w:contextualSpacing/>
    </w:pPr>
  </w:style>
  <w:style w:type="paragraph" w:styleId="Header">
    <w:name w:val="header"/>
    <w:basedOn w:val="Normal"/>
    <w:link w:val="HeaderChar"/>
    <w:uiPriority w:val="99"/>
    <w:unhideWhenUsed/>
    <w:rsid w:val="00766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9A3"/>
  </w:style>
  <w:style w:type="paragraph" w:styleId="Footer">
    <w:name w:val="footer"/>
    <w:basedOn w:val="Normal"/>
    <w:link w:val="FooterChar"/>
    <w:uiPriority w:val="99"/>
    <w:unhideWhenUsed/>
    <w:rsid w:val="00766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9A3"/>
  </w:style>
  <w:style w:type="character" w:styleId="Hyperlink">
    <w:name w:val="Hyperlink"/>
    <w:basedOn w:val="DefaultParagraphFont"/>
    <w:uiPriority w:val="99"/>
    <w:unhideWhenUsed/>
    <w:rsid w:val="00211EC6"/>
    <w:rPr>
      <w:color w:val="0563C1" w:themeColor="hyperlink"/>
      <w:u w:val="single"/>
    </w:rPr>
  </w:style>
  <w:style w:type="character" w:styleId="UnresolvedMention">
    <w:name w:val="Unresolved Mention"/>
    <w:basedOn w:val="DefaultParagraphFont"/>
    <w:uiPriority w:val="99"/>
    <w:semiHidden/>
    <w:unhideWhenUsed/>
    <w:rsid w:val="00211EC6"/>
    <w:rPr>
      <w:color w:val="605E5C"/>
      <w:shd w:val="clear" w:color="auto" w:fill="E1DFDD"/>
    </w:rPr>
  </w:style>
  <w:style w:type="paragraph" w:styleId="Revision">
    <w:name w:val="Revision"/>
    <w:hidden/>
    <w:uiPriority w:val="99"/>
    <w:semiHidden/>
    <w:rsid w:val="000D18B0"/>
    <w:pPr>
      <w:spacing w:after="0" w:line="240" w:lineRule="auto"/>
    </w:pPr>
  </w:style>
  <w:style w:type="character" w:styleId="CommentReference">
    <w:name w:val="annotation reference"/>
    <w:basedOn w:val="DefaultParagraphFont"/>
    <w:uiPriority w:val="99"/>
    <w:semiHidden/>
    <w:unhideWhenUsed/>
    <w:rsid w:val="006C7205"/>
    <w:rPr>
      <w:sz w:val="16"/>
      <w:szCs w:val="16"/>
    </w:rPr>
  </w:style>
  <w:style w:type="paragraph" w:styleId="CommentText">
    <w:name w:val="annotation text"/>
    <w:basedOn w:val="Normal"/>
    <w:link w:val="CommentTextChar"/>
    <w:uiPriority w:val="99"/>
    <w:unhideWhenUsed/>
    <w:rsid w:val="006C7205"/>
    <w:pPr>
      <w:spacing w:line="240" w:lineRule="auto"/>
    </w:pPr>
    <w:rPr>
      <w:sz w:val="20"/>
      <w:szCs w:val="20"/>
    </w:rPr>
  </w:style>
  <w:style w:type="character" w:customStyle="1" w:styleId="CommentTextChar">
    <w:name w:val="Comment Text Char"/>
    <w:basedOn w:val="DefaultParagraphFont"/>
    <w:link w:val="CommentText"/>
    <w:uiPriority w:val="99"/>
    <w:rsid w:val="006C7205"/>
    <w:rPr>
      <w:sz w:val="20"/>
      <w:szCs w:val="20"/>
    </w:rPr>
  </w:style>
  <w:style w:type="paragraph" w:styleId="CommentSubject">
    <w:name w:val="annotation subject"/>
    <w:basedOn w:val="CommentText"/>
    <w:next w:val="CommentText"/>
    <w:link w:val="CommentSubjectChar"/>
    <w:uiPriority w:val="99"/>
    <w:semiHidden/>
    <w:unhideWhenUsed/>
    <w:rsid w:val="006C7205"/>
    <w:rPr>
      <w:b/>
      <w:bCs/>
    </w:rPr>
  </w:style>
  <w:style w:type="character" w:customStyle="1" w:styleId="CommentSubjectChar">
    <w:name w:val="Comment Subject Char"/>
    <w:basedOn w:val="CommentTextChar"/>
    <w:link w:val="CommentSubject"/>
    <w:uiPriority w:val="99"/>
    <w:semiHidden/>
    <w:rsid w:val="006C7205"/>
    <w:rPr>
      <w:b/>
      <w:bCs/>
      <w:sz w:val="20"/>
      <w:szCs w:val="20"/>
    </w:rPr>
  </w:style>
  <w:style w:type="character" w:styleId="FollowedHyperlink">
    <w:name w:val="FollowedHyperlink"/>
    <w:basedOn w:val="DefaultParagraphFont"/>
    <w:uiPriority w:val="99"/>
    <w:semiHidden/>
    <w:unhideWhenUsed/>
    <w:rsid w:val="0098720B"/>
    <w:rPr>
      <w:color w:val="F68B1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7295">
      <w:bodyDiv w:val="1"/>
      <w:marLeft w:val="0"/>
      <w:marRight w:val="0"/>
      <w:marTop w:val="0"/>
      <w:marBottom w:val="0"/>
      <w:divBdr>
        <w:top w:val="none" w:sz="0" w:space="0" w:color="auto"/>
        <w:left w:val="none" w:sz="0" w:space="0" w:color="auto"/>
        <w:bottom w:val="none" w:sz="0" w:space="0" w:color="auto"/>
        <w:right w:val="none" w:sz="0" w:space="0" w:color="auto"/>
      </w:divBdr>
    </w:div>
    <w:div w:id="152068557">
      <w:bodyDiv w:val="1"/>
      <w:marLeft w:val="0"/>
      <w:marRight w:val="0"/>
      <w:marTop w:val="0"/>
      <w:marBottom w:val="0"/>
      <w:divBdr>
        <w:top w:val="none" w:sz="0" w:space="0" w:color="auto"/>
        <w:left w:val="none" w:sz="0" w:space="0" w:color="auto"/>
        <w:bottom w:val="none" w:sz="0" w:space="0" w:color="auto"/>
        <w:right w:val="none" w:sz="0" w:space="0" w:color="auto"/>
      </w:divBdr>
    </w:div>
    <w:div w:id="296447683">
      <w:bodyDiv w:val="1"/>
      <w:marLeft w:val="0"/>
      <w:marRight w:val="0"/>
      <w:marTop w:val="0"/>
      <w:marBottom w:val="0"/>
      <w:divBdr>
        <w:top w:val="none" w:sz="0" w:space="0" w:color="auto"/>
        <w:left w:val="none" w:sz="0" w:space="0" w:color="auto"/>
        <w:bottom w:val="none" w:sz="0" w:space="0" w:color="auto"/>
        <w:right w:val="none" w:sz="0" w:space="0" w:color="auto"/>
      </w:divBdr>
    </w:div>
    <w:div w:id="428044625">
      <w:bodyDiv w:val="1"/>
      <w:marLeft w:val="0"/>
      <w:marRight w:val="0"/>
      <w:marTop w:val="0"/>
      <w:marBottom w:val="0"/>
      <w:divBdr>
        <w:top w:val="none" w:sz="0" w:space="0" w:color="auto"/>
        <w:left w:val="none" w:sz="0" w:space="0" w:color="auto"/>
        <w:bottom w:val="none" w:sz="0" w:space="0" w:color="auto"/>
        <w:right w:val="none" w:sz="0" w:space="0" w:color="auto"/>
      </w:divBdr>
    </w:div>
    <w:div w:id="539244760">
      <w:bodyDiv w:val="1"/>
      <w:marLeft w:val="0"/>
      <w:marRight w:val="0"/>
      <w:marTop w:val="0"/>
      <w:marBottom w:val="0"/>
      <w:divBdr>
        <w:top w:val="none" w:sz="0" w:space="0" w:color="auto"/>
        <w:left w:val="none" w:sz="0" w:space="0" w:color="auto"/>
        <w:bottom w:val="none" w:sz="0" w:space="0" w:color="auto"/>
        <w:right w:val="none" w:sz="0" w:space="0" w:color="auto"/>
      </w:divBdr>
    </w:div>
    <w:div w:id="674764381">
      <w:bodyDiv w:val="1"/>
      <w:marLeft w:val="0"/>
      <w:marRight w:val="0"/>
      <w:marTop w:val="0"/>
      <w:marBottom w:val="0"/>
      <w:divBdr>
        <w:top w:val="none" w:sz="0" w:space="0" w:color="auto"/>
        <w:left w:val="none" w:sz="0" w:space="0" w:color="auto"/>
        <w:bottom w:val="none" w:sz="0" w:space="0" w:color="auto"/>
        <w:right w:val="none" w:sz="0" w:space="0" w:color="auto"/>
      </w:divBdr>
    </w:div>
    <w:div w:id="749497356">
      <w:bodyDiv w:val="1"/>
      <w:marLeft w:val="0"/>
      <w:marRight w:val="0"/>
      <w:marTop w:val="0"/>
      <w:marBottom w:val="0"/>
      <w:divBdr>
        <w:top w:val="none" w:sz="0" w:space="0" w:color="auto"/>
        <w:left w:val="none" w:sz="0" w:space="0" w:color="auto"/>
        <w:bottom w:val="none" w:sz="0" w:space="0" w:color="auto"/>
        <w:right w:val="none" w:sz="0" w:space="0" w:color="auto"/>
      </w:divBdr>
    </w:div>
    <w:div w:id="908341732">
      <w:bodyDiv w:val="1"/>
      <w:marLeft w:val="0"/>
      <w:marRight w:val="0"/>
      <w:marTop w:val="0"/>
      <w:marBottom w:val="0"/>
      <w:divBdr>
        <w:top w:val="none" w:sz="0" w:space="0" w:color="auto"/>
        <w:left w:val="none" w:sz="0" w:space="0" w:color="auto"/>
        <w:bottom w:val="none" w:sz="0" w:space="0" w:color="auto"/>
        <w:right w:val="none" w:sz="0" w:space="0" w:color="auto"/>
      </w:divBdr>
    </w:div>
    <w:div w:id="1134562620">
      <w:bodyDiv w:val="1"/>
      <w:marLeft w:val="0"/>
      <w:marRight w:val="0"/>
      <w:marTop w:val="0"/>
      <w:marBottom w:val="0"/>
      <w:divBdr>
        <w:top w:val="none" w:sz="0" w:space="0" w:color="auto"/>
        <w:left w:val="none" w:sz="0" w:space="0" w:color="auto"/>
        <w:bottom w:val="none" w:sz="0" w:space="0" w:color="auto"/>
        <w:right w:val="none" w:sz="0" w:space="0" w:color="auto"/>
      </w:divBdr>
    </w:div>
    <w:div w:id="1143893425">
      <w:bodyDiv w:val="1"/>
      <w:marLeft w:val="0"/>
      <w:marRight w:val="0"/>
      <w:marTop w:val="0"/>
      <w:marBottom w:val="0"/>
      <w:divBdr>
        <w:top w:val="none" w:sz="0" w:space="0" w:color="auto"/>
        <w:left w:val="none" w:sz="0" w:space="0" w:color="auto"/>
        <w:bottom w:val="none" w:sz="0" w:space="0" w:color="auto"/>
        <w:right w:val="none" w:sz="0" w:space="0" w:color="auto"/>
      </w:divBdr>
    </w:div>
    <w:div w:id="1145506792">
      <w:bodyDiv w:val="1"/>
      <w:marLeft w:val="0"/>
      <w:marRight w:val="0"/>
      <w:marTop w:val="0"/>
      <w:marBottom w:val="0"/>
      <w:divBdr>
        <w:top w:val="none" w:sz="0" w:space="0" w:color="auto"/>
        <w:left w:val="none" w:sz="0" w:space="0" w:color="auto"/>
        <w:bottom w:val="none" w:sz="0" w:space="0" w:color="auto"/>
        <w:right w:val="none" w:sz="0" w:space="0" w:color="auto"/>
      </w:divBdr>
    </w:div>
    <w:div w:id="1184709590">
      <w:bodyDiv w:val="1"/>
      <w:marLeft w:val="0"/>
      <w:marRight w:val="0"/>
      <w:marTop w:val="0"/>
      <w:marBottom w:val="0"/>
      <w:divBdr>
        <w:top w:val="none" w:sz="0" w:space="0" w:color="auto"/>
        <w:left w:val="none" w:sz="0" w:space="0" w:color="auto"/>
        <w:bottom w:val="none" w:sz="0" w:space="0" w:color="auto"/>
        <w:right w:val="none" w:sz="0" w:space="0" w:color="auto"/>
      </w:divBdr>
    </w:div>
    <w:div w:id="1479685089">
      <w:bodyDiv w:val="1"/>
      <w:marLeft w:val="0"/>
      <w:marRight w:val="0"/>
      <w:marTop w:val="0"/>
      <w:marBottom w:val="0"/>
      <w:divBdr>
        <w:top w:val="none" w:sz="0" w:space="0" w:color="auto"/>
        <w:left w:val="none" w:sz="0" w:space="0" w:color="auto"/>
        <w:bottom w:val="none" w:sz="0" w:space="0" w:color="auto"/>
        <w:right w:val="none" w:sz="0" w:space="0" w:color="auto"/>
      </w:divBdr>
    </w:div>
    <w:div w:id="1675765866">
      <w:bodyDiv w:val="1"/>
      <w:marLeft w:val="0"/>
      <w:marRight w:val="0"/>
      <w:marTop w:val="0"/>
      <w:marBottom w:val="0"/>
      <w:divBdr>
        <w:top w:val="none" w:sz="0" w:space="0" w:color="auto"/>
        <w:left w:val="none" w:sz="0" w:space="0" w:color="auto"/>
        <w:bottom w:val="none" w:sz="0" w:space="0" w:color="auto"/>
        <w:right w:val="none" w:sz="0" w:space="0" w:color="auto"/>
      </w:divBdr>
    </w:div>
    <w:div w:id="1717317066">
      <w:bodyDiv w:val="1"/>
      <w:marLeft w:val="0"/>
      <w:marRight w:val="0"/>
      <w:marTop w:val="0"/>
      <w:marBottom w:val="0"/>
      <w:divBdr>
        <w:top w:val="none" w:sz="0" w:space="0" w:color="auto"/>
        <w:left w:val="none" w:sz="0" w:space="0" w:color="auto"/>
        <w:bottom w:val="none" w:sz="0" w:space="0" w:color="auto"/>
        <w:right w:val="none" w:sz="0" w:space="0" w:color="auto"/>
      </w:divBdr>
    </w:div>
    <w:div w:id="1774207024">
      <w:bodyDiv w:val="1"/>
      <w:marLeft w:val="0"/>
      <w:marRight w:val="0"/>
      <w:marTop w:val="0"/>
      <w:marBottom w:val="0"/>
      <w:divBdr>
        <w:top w:val="none" w:sz="0" w:space="0" w:color="auto"/>
        <w:left w:val="none" w:sz="0" w:space="0" w:color="auto"/>
        <w:bottom w:val="none" w:sz="0" w:space="0" w:color="auto"/>
        <w:right w:val="none" w:sz="0" w:space="0" w:color="auto"/>
      </w:divBdr>
    </w:div>
    <w:div w:id="1925340788">
      <w:bodyDiv w:val="1"/>
      <w:marLeft w:val="0"/>
      <w:marRight w:val="0"/>
      <w:marTop w:val="0"/>
      <w:marBottom w:val="0"/>
      <w:divBdr>
        <w:top w:val="none" w:sz="0" w:space="0" w:color="auto"/>
        <w:left w:val="none" w:sz="0" w:space="0" w:color="auto"/>
        <w:bottom w:val="none" w:sz="0" w:space="0" w:color="auto"/>
        <w:right w:val="none" w:sz="0" w:space="0" w:color="auto"/>
      </w:divBdr>
    </w:div>
    <w:div w:id="1940335756">
      <w:bodyDiv w:val="1"/>
      <w:marLeft w:val="0"/>
      <w:marRight w:val="0"/>
      <w:marTop w:val="0"/>
      <w:marBottom w:val="0"/>
      <w:divBdr>
        <w:top w:val="none" w:sz="0" w:space="0" w:color="auto"/>
        <w:left w:val="none" w:sz="0" w:space="0" w:color="auto"/>
        <w:bottom w:val="none" w:sz="0" w:space="0" w:color="auto"/>
        <w:right w:val="none" w:sz="0" w:space="0" w:color="auto"/>
      </w:divBdr>
    </w:div>
    <w:div w:id="2025396013">
      <w:bodyDiv w:val="1"/>
      <w:marLeft w:val="0"/>
      <w:marRight w:val="0"/>
      <w:marTop w:val="0"/>
      <w:marBottom w:val="0"/>
      <w:divBdr>
        <w:top w:val="none" w:sz="0" w:space="0" w:color="auto"/>
        <w:left w:val="none" w:sz="0" w:space="0" w:color="auto"/>
        <w:bottom w:val="none" w:sz="0" w:space="0" w:color="auto"/>
        <w:right w:val="none" w:sz="0" w:space="0" w:color="auto"/>
      </w:divBdr>
    </w:div>
    <w:div w:id="2054188820">
      <w:bodyDiv w:val="1"/>
      <w:marLeft w:val="0"/>
      <w:marRight w:val="0"/>
      <w:marTop w:val="0"/>
      <w:marBottom w:val="0"/>
      <w:divBdr>
        <w:top w:val="none" w:sz="0" w:space="0" w:color="auto"/>
        <w:left w:val="none" w:sz="0" w:space="0" w:color="auto"/>
        <w:bottom w:val="none" w:sz="0" w:space="0" w:color="auto"/>
        <w:right w:val="none" w:sz="0" w:space="0" w:color="auto"/>
      </w:divBdr>
    </w:div>
    <w:div w:id="21451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regsuk.co.uk/downloads/public_area/guidance/publications/general/guidance_2024/aim/rpz_aim.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wrcymru.com/en/help-advice/water-regulations/notification-and-testing-of-works" TargetMode="External"/><Relationship Id="rId4" Type="http://schemas.openxmlformats.org/officeDocument/2006/relationships/settings" Target="settings.xml"/><Relationship Id="rId9" Type="http://schemas.openxmlformats.org/officeDocument/2006/relationships/hyperlink" Target="https://www.watersaf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CWW">
      <a:dk1>
        <a:srgbClr val="009EDB"/>
      </a:dk1>
      <a:lt1>
        <a:srgbClr val="72BF3F"/>
      </a:lt1>
      <a:dk2>
        <a:srgbClr val="0072BC"/>
      </a:dk2>
      <a:lt2>
        <a:srgbClr val="1A8C44"/>
      </a:lt2>
      <a:accent1>
        <a:srgbClr val="74C2BE"/>
      </a:accent1>
      <a:accent2>
        <a:srgbClr val="F15F56"/>
      </a:accent2>
      <a:accent3>
        <a:srgbClr val="6B66A4"/>
      </a:accent3>
      <a:accent4>
        <a:srgbClr val="BFD730"/>
      </a:accent4>
      <a:accent5>
        <a:srgbClr val="CD3D96"/>
      </a:accent5>
      <a:accent6>
        <a:srgbClr val="FFCB05"/>
      </a:accent6>
      <a:hlink>
        <a:srgbClr val="0563C1"/>
      </a:hlink>
      <a:folHlink>
        <a:srgbClr val="F68B1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1E3B-1A4B-4CE8-A77A-CEF61AF5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927</Words>
  <Characters>5284</Characters>
  <Application>Microsoft Office Word</Application>
  <DocSecurity>0</DocSecurity>
  <Lines>44</Lines>
  <Paragraphs>12</Paragraphs>
  <ScaleCrop>false</ScaleCrop>
  <Company>Welsh Water</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Andrea</dc:creator>
  <cp:keywords/>
  <dc:description/>
  <cp:lastModifiedBy>Scott Hood</cp:lastModifiedBy>
  <cp:revision>89</cp:revision>
  <dcterms:created xsi:type="dcterms:W3CDTF">2025-02-12T14:21:00Z</dcterms:created>
  <dcterms:modified xsi:type="dcterms:W3CDTF">2025-04-02T12:56:00Z</dcterms:modified>
</cp:coreProperties>
</file>